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17B" w:rsidRDefault="00AA204A">
      <w:pPr>
        <w:spacing w:after="0" w:line="240" w:lineRule="auto"/>
        <w:jc w:val="center"/>
        <w:outlineLvl w:val="2"/>
        <w:rPr>
          <w:rFonts w:ascii="Bookman Old Style" w:eastAsia="Times New Roman" w:hAnsi="Bookman Old Style"/>
          <w:b/>
          <w:bCs/>
          <w:caps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b/>
          <w:bCs/>
          <w:caps/>
          <w:noProof/>
          <w:sz w:val="27"/>
          <w:szCs w:val="27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76835</wp:posOffset>
            </wp:positionV>
            <wp:extent cx="6728460" cy="9614535"/>
            <wp:effectExtent l="0" t="0" r="0" b="571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961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17B" w:rsidRDefault="00F3517B">
      <w:pPr>
        <w:spacing w:after="0" w:line="240" w:lineRule="auto"/>
        <w:rPr>
          <w:rFonts w:ascii="Bookman Old Style" w:eastAsia="Times New Roman" w:hAnsi="Bookman Old Style"/>
          <w:b/>
          <w:bCs/>
          <w:caps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b/>
          <w:bCs/>
          <w:caps/>
          <w:sz w:val="27"/>
          <w:szCs w:val="27"/>
          <w:lang w:eastAsia="cs-CZ"/>
        </w:rPr>
        <w:br w:type="page"/>
      </w:r>
    </w:p>
    <w:p w:rsidR="00A12AB3" w:rsidRDefault="00B2062B">
      <w:pPr>
        <w:spacing w:after="0" w:line="240" w:lineRule="auto"/>
        <w:jc w:val="center"/>
        <w:outlineLvl w:val="2"/>
        <w:rPr>
          <w:rFonts w:ascii="Bookman Old Style" w:eastAsia="Times New Roman" w:hAnsi="Bookman Old Style"/>
          <w:b/>
          <w:bCs/>
          <w:caps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b/>
          <w:bCs/>
          <w:caps/>
          <w:sz w:val="27"/>
          <w:szCs w:val="27"/>
          <w:lang w:eastAsia="cs-CZ"/>
        </w:rPr>
        <w:lastRenderedPageBreak/>
        <w:t>Jákob není Bohem</w:t>
      </w:r>
    </w:p>
    <w:p w:rsidR="00A12AB3" w:rsidRDefault="00A12AB3">
      <w:pPr>
        <w:spacing w:after="0" w:line="240" w:lineRule="auto"/>
        <w:jc w:val="center"/>
        <w:outlineLvl w:val="2"/>
        <w:rPr>
          <w:rFonts w:ascii="Bookman Old Style" w:eastAsia="Times New Roman" w:hAnsi="Bookman Old Style"/>
          <w:b/>
          <w:bCs/>
          <w:caps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outlineLvl w:val="2"/>
        <w:rPr>
          <w:rFonts w:ascii="Bookman Old Style" w:eastAsia="Times New Roman" w:hAnsi="Bookman Old Style"/>
          <w:b/>
          <w:bCs/>
          <w:caps/>
          <w:sz w:val="27"/>
          <w:szCs w:val="27"/>
          <w:lang w:eastAsia="cs-CZ"/>
        </w:rPr>
      </w:pPr>
      <w:proofErr w:type="spellStart"/>
      <w:r>
        <w:rPr>
          <w:rFonts w:ascii="Bookman Old Style" w:eastAsia="Times New Roman" w:hAnsi="Bookman Old Style"/>
          <w:b/>
          <w:sz w:val="27"/>
          <w:szCs w:val="27"/>
          <w:lang w:eastAsia="cs-CZ"/>
        </w:rPr>
        <w:t>Gn</w:t>
      </w:r>
      <w:proofErr w:type="spellEnd"/>
      <w:r>
        <w:rPr>
          <w:rFonts w:ascii="Bookman Old Style" w:eastAsia="Times New Roman" w:hAnsi="Bookman Old Style"/>
          <w:b/>
          <w:sz w:val="27"/>
          <w:szCs w:val="27"/>
          <w:lang w:eastAsia="cs-CZ"/>
        </w:rPr>
        <w:t xml:space="preserve"> 29:15-30:2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Jákob se zamiloval do Ráchel a tak zůstal. Zůstal také proto, že neměl, kam by jinam šel. Jeho matka Rebeka ho poslala ke svému bratru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Lábanovi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>, aby tam nějaký čas pobyl, než pomine rozhořčení jeho podvedeného bratra. Jákob je vděčný, že může zůstat. To je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jeho hlavní odměna. Nemusí již být utečenec. A tak je ochotný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Lábanovi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sloužit zadarmo.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se však Jákoba ptá, co za tu službu chce.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tuší, že Jákob bude chtít Ráchel. Jákob si dodá odvahy a řekne, že bude sloužit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7 let za Ráchel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. Ráchel má ještě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starší sestru Leu, problém je – že slušnost je v tom kraji a v té době - požádat o ruku sestru starší.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ví, že Lea bude mít problém, když ji neprovdá teď. Možná si ji už nikdo nevezme. Tak se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rozhodne Jákoba napálit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. Podobně – jako se rozhodla před ča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sem Rebeka napálit Izáka. A tak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Jákob na sobě zakusí, co zakoušel Izák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. Netuší, že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proti němu chystá chyták.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slibuje Ráchel Jákobovi za sedmiletou službu. Jákob s radostí přijímá a léta mu utečou jako nic. 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>Jákob má slavit svatbu a jeho rodiče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zůstávají daleko. Rodinná tragédie působí i v tomto dobrém čase.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Jákob se bude muset oženit bez své vlastní rodiny.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Když posílala Rebeka Jákoba pryč, řekla mu, že je to jen na nějaký čas, než nepomine rozhořčení Ezaua. A zatím uběhlo mnoho let, Jákob zakl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ádá rodinu. Jeho vlastní rodina však zůstává roztržena. Nic se ale nedočteme o zoufalství Izáka a Rebeky nad ztrátou syna. Jen ho tušíme. Možná se Jákob těší, že po svatbě si bude moci přivést Ráchel domů.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Byla veliká svatba, asi se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dost pilo a Jákob nepo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znal, že má v posteli Leu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. Podobně jako kdysi nepoznal Izák, že na něj nemluví Ezau, ale Jákob. Jákob tehdy tvrdil: otče, já jsem Ezau. A tuto noc -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poznal jaké to je, nevidět druhého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.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Být podveden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. Cos mi to provedl, křičí na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Lábana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>! Proč jsi mne oklamal?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! Jákobovo zoufalství nezná mezí. 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má jednoduchou odpověď: není zvykem provdat nejdřív mladší dceru,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tos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mohl sám pochopit. Když budeš ochoten sloužit dalších 7 let, dáme ti i tu mladší… a víš co - vezmi si ji už teď. Podivné kšefty.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Svatba na hypotéku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. Člověk by se mohl urazit, prásknout dveřmi a odejít. Nebo Ráchel ukrást. Jákob to ale neudělá. Začíná mu t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eprve teď pořádně docházet, že udělal chybu. Mnoho chyb. Podvod přinesl utrpení v rodině Izáka a Rebeky. To Jákob sám zažil.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Co přinese podvod v rodině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Lábana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>? Ezau a Jákob – Lea a Ráchel. Tito sourozenci mají víc společného, než by se na první pohled moh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lo zdát. Také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dvě sestry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– stejně jako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dva bratři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– vedou nehezký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zápas – na život a na smrt.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I dnes víme, že v rodinách málokdy panuje idylická atmosféra. I když bychom si to tolik přáli. Kolik různých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trápení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a příkoří se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v rodinách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děje. Mezi manželi, m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ezi dětmi a rodiči, mezi sourozenci.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Co tím ty příběhy sledují? Proč se chovají ti lidé tak nemožně? Chovají se podobně nemožně jako my dnes. A podobně jako před tisíci lety i dnes platí jedna důležitá věc.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Hospodin může i přes ty lidské podvody a hádky k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onat své dílo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. Navzdory lidské zlobě. Navzdory beznaději, kterou si lidé umí přivodit. Navzdory zlu a válkám a koncentračním táborům. Navzdory podvodům a nenávisti. Bůh se přizná k Jákobovi – tak jak mu to ukázal ve snu – i přes jeho chyby. Navzdory těm ch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ybám. Z toho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lastRenderedPageBreak/>
        <w:t>prastarého příběhu prozařuje evangelium o Bohu, který se obětovává pro člověka, který člověka uchopuje za ruku i přes jeho provinění a vytahuje ho k sobě. Vytrhuje ho ze sebe samého a nabízí mu smysluplnou cestu. Přese všechny lidské pády koná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Hospodin svůj plán.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Člověk není schopen ze své vlastní vůle se k Bohu přiblížit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– to se naopak nejprve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Bůh sklání k člověku.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Tak to viděl Jákob ve snu a tak to jednou prožije naplno i ve svém životě. Naše vyvolení není naše zásluha, my nejsme lepší, než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druzí.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Naše vyvolení znamená, že se nás Bůh ujal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, abychom o této milosti mohli svědčit před ostatními národy. Mnohem později apoštol Pavel uvažuje o tom, že všichni ti, kdo následují Ježíše, jsou svatí. Ale pozor – ta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naše svatost nepochází z nás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– ale z H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ospodinova vyvoleného. Vy jste svatí skrze Ježíše Krista. Kdyby nebylo jeho, vaše zloba vás zahubí. Stejně tak Jákob a další postavy z dnešního příběhu. Ten příběh byl napsán, abychom uvěřili, že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 xml:space="preserve">Bůh přes naši </w:t>
      </w:r>
      <w:proofErr w:type="spellStart"/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nedověru</w:t>
      </w:r>
      <w:proofErr w:type="spellEnd"/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 xml:space="preserve"> své dílo nevzdává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.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Stejně jako před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lety pomohl Bůh služebnici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Hagar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, i nyní pomáhá opovrhované sestře – Lei. Bůh pomáhá slabým a opovrhovaným.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 xml:space="preserve">Bůh vnáší spravedlnost do nespravedlnosti krutých tahanic.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Vnáší lidskost do nelidského jednání. Doslova v Bibli čteme: </w:t>
      </w:r>
      <w:r>
        <w:rPr>
          <w:rFonts w:ascii="Bookman Old Style" w:eastAsia="Times New Roman" w:hAnsi="Bookman Old Style"/>
          <w:i/>
          <w:sz w:val="27"/>
          <w:szCs w:val="27"/>
          <w:lang w:eastAsia="cs-CZ"/>
        </w:rPr>
        <w:t xml:space="preserve">Genesis 29:31 </w:t>
      </w:r>
      <w:r>
        <w:rPr>
          <w:rFonts w:ascii="Bookman Old Style" w:eastAsia="Times New Roman" w:hAnsi="Bookman Old Style"/>
          <w:b/>
          <w:bCs/>
          <w:i/>
          <w:sz w:val="27"/>
          <w:szCs w:val="27"/>
          <w:lang w:eastAsia="cs-CZ"/>
        </w:rPr>
        <w:t xml:space="preserve">Když Hospodin </w:t>
      </w:r>
      <w:r>
        <w:rPr>
          <w:rFonts w:ascii="Bookman Old Style" w:eastAsia="Times New Roman" w:hAnsi="Bookman Old Style"/>
          <w:b/>
          <w:bCs/>
          <w:i/>
          <w:sz w:val="27"/>
          <w:szCs w:val="27"/>
          <w:lang w:eastAsia="cs-CZ"/>
        </w:rPr>
        <w:t>viděl, že Lea není milována, otevřel její lůno. Ráchel však zůstala neplodná.</w:t>
      </w:r>
      <w:r>
        <w:rPr>
          <w:rFonts w:ascii="Bookman Old Style" w:eastAsia="Times New Roman" w:hAnsi="Bookman Old Style"/>
          <w:i/>
          <w:sz w:val="27"/>
          <w:szCs w:val="27"/>
          <w:lang w:eastAsia="cs-CZ"/>
        </w:rPr>
        <w:t xml:space="preserve">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Lea tak díky Bohu porodila postupně Jákobovi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Rúbena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,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Šimeóna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, </w:t>
      </w:r>
      <w:proofErr w:type="spellStart"/>
      <w:r>
        <w:rPr>
          <w:rFonts w:ascii="Bookman Old Style" w:eastAsia="Times New Roman" w:hAnsi="Bookman Old Style"/>
          <w:sz w:val="27"/>
          <w:szCs w:val="27"/>
          <w:lang w:eastAsia="cs-CZ"/>
        </w:rPr>
        <w:t>Léviho</w:t>
      </w:r>
      <w:proofErr w:type="spellEnd"/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a Judu. A jejich jména znamenala její víru v milost Hospodinovu. Vždyť ty děti dostala jako dar od Pána Boha.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A ona poznala, že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Bůh je na blízku těm, kteří jsou zoufalí z nedostatku lásky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.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>Její sestra Ráchel je zoufalá, pokořená. Nerodí. Žárlí. Jákobovi dá nůž na krk: Dej mi syny, a když ne – tak jsem mrtvá! Vyhrožuje sebevraždou. Dramatickým vrcholem celého odd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ílu je Jákobova odpověď: </w:t>
      </w:r>
      <w:r>
        <w:rPr>
          <w:rFonts w:ascii="Bookman Old Style" w:eastAsia="Times New Roman" w:hAnsi="Bookman Old Style"/>
          <w:b/>
          <w:bCs/>
          <w:i/>
          <w:sz w:val="27"/>
          <w:szCs w:val="27"/>
          <w:lang w:eastAsia="cs-CZ"/>
        </w:rPr>
        <w:t>„Jsem snad Bůh, jenž ti odepřel plod břicha?“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– takhle je to tam doslovně. Co je to za odpověď? Co znamená?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Jákob přiznává konečně, že není Bohem?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To mu to tak dlouho trvalo! 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>Je to geniální vyjádření o lidské situaci. Ano – oprav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du nejsme Bůh. V době, kdy Jákob netušil, co znamená požehnání – si možná o sobě myslel, že je jako Bůh. Že požehnání znamená, že se mu všechno bude dařit, že bude mocný a bohatý. A tahle víra se sesypala jako domeček z karet. Takhle víra nefunguje. Teď mu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ji Ráchel připomněla – protože Ráchel asi takovou představu o víře má: jsi snad vyvolený, tak dělej něco! Zařiď, ať mám syny! Když už věříš v toho svého Boha, tak zařiď, ať jsem zdravá! Pomodli se nebo udělej něco – mě je to jedno – ale ať jsem konečně zd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ravá! Jákob nemůže zařídit nic. Tedy může: „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Může milovat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“. 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Jenže se zdá, že Jákoba jeho bezmocnost zdrtila. Možná si říká, že je taková víra k ničemu, když nefunguje – podle našich představ. A tak mlčí. K čemu je mi víra, když mi nepomůže od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nemoci? K čemu je ti víra Ježíši, když jsi skončil na kříži? Víra není automat na lidské představy o štěstí. Jákob si dřív věděl rady – podváděl – intrikařil… A teď? Je bezradný. Říká jen: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Já nejsem Bůh…</w:t>
      </w:r>
    </w:p>
    <w:p w:rsidR="00A12AB3" w:rsidRDefault="00A12AB3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</w:p>
    <w:p w:rsidR="00A12AB3" w:rsidRDefault="00B2062B">
      <w:pPr>
        <w:spacing w:after="0" w:line="240" w:lineRule="auto"/>
        <w:jc w:val="both"/>
        <w:rPr>
          <w:rFonts w:ascii="Bookman Old Style" w:eastAsia="Times New Roman" w:hAnsi="Bookman Old Style"/>
          <w:sz w:val="27"/>
          <w:szCs w:val="27"/>
          <w:lang w:eastAsia="cs-CZ"/>
        </w:rPr>
      </w:pPr>
      <w:r>
        <w:rPr>
          <w:rFonts w:ascii="Bookman Old Style" w:eastAsia="Times New Roman" w:hAnsi="Bookman Old Style"/>
          <w:sz w:val="27"/>
          <w:szCs w:val="27"/>
          <w:lang w:eastAsia="cs-CZ"/>
        </w:rPr>
        <w:t>Jaké evangelium – radostnou zprávu si z toho dnešní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ho příběhu smíme odnést? Že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člověk nemůže spasit sám sebe.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Spása jakoby padá Izraeli postupně do klína. Je to dar. Stvoření Izraele – jako stvoření na počátku světa – je div Boží.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Radostná zvěst je také zjištění, že člověk není Bůh.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Bůh miluje a pomáhá tam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, kde je nějaké bezpráví. Člověk ho má v této cestě následovat. Připomněli jsme si, že i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naše svatost – či vykoupení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– podobně jako svatost a vykoupení Izraele –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 xml:space="preserve">je svatostí a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lastRenderedPageBreak/>
        <w:t>vykoupením Božím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. A tím jediným se můžeme chlubit. Apoštol Pavel řekl: </w:t>
      </w:r>
      <w:r>
        <w:rPr>
          <w:rFonts w:ascii="Bookman Old Style" w:eastAsia="Times New Roman" w:hAnsi="Bookman Old Style"/>
          <w:i/>
          <w:sz w:val="27"/>
          <w:szCs w:val="27"/>
          <w:lang w:eastAsia="cs-CZ"/>
        </w:rPr>
        <w:t>1 Korints</w:t>
      </w:r>
      <w:r>
        <w:rPr>
          <w:rFonts w:ascii="Bookman Old Style" w:eastAsia="Times New Roman" w:hAnsi="Bookman Old Style"/>
          <w:i/>
          <w:sz w:val="27"/>
          <w:szCs w:val="27"/>
          <w:lang w:eastAsia="cs-CZ"/>
        </w:rPr>
        <w:t>kým 1:28  neurozené v očích světa a opovržené Bůh vyvolil, ano vyvolil to, co není, aby to, co jest, obrátil v nic, 29 aby se tak žádný člověk nemohl vychloubat před Bohem. 30  Vy však jste z Boží moci v Kristu Ježíši; on se nám stal moudrostí od Boha, spr</w:t>
      </w:r>
      <w:r>
        <w:rPr>
          <w:rFonts w:ascii="Bookman Old Style" w:eastAsia="Times New Roman" w:hAnsi="Bookman Old Style"/>
          <w:i/>
          <w:sz w:val="27"/>
          <w:szCs w:val="27"/>
          <w:lang w:eastAsia="cs-CZ"/>
        </w:rPr>
        <w:t xml:space="preserve">avedlností, posvěcením a vykoupením, 31  jak je psáno: `Kdo se chlubí, ať se chlubí v Pánu´.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Radostná zpráva je také zjištění, že 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cs-CZ"/>
        </w:rPr>
        <w:t>člověk nemůže Boží dílo zastavit.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 xml:space="preserve"> Ani tehdy, ani dnes.</w:t>
      </w:r>
    </w:p>
    <w:p w:rsidR="00A12AB3" w:rsidRDefault="00A12AB3">
      <w:pPr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/>
          <w:i/>
          <w:iCs/>
          <w:sz w:val="27"/>
          <w:szCs w:val="27"/>
          <w:lang w:eastAsia="cs-CZ"/>
        </w:rPr>
      </w:pPr>
    </w:p>
    <w:p w:rsidR="00A12AB3" w:rsidRDefault="00B2062B">
      <w:pPr>
        <w:tabs>
          <w:tab w:val="left" w:pos="10348"/>
        </w:tabs>
        <w:spacing w:after="0" w:line="240" w:lineRule="auto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eastAsia="Times New Roman" w:hAnsi="Bookman Old Style"/>
          <w:i/>
          <w:iCs/>
          <w:sz w:val="27"/>
          <w:szCs w:val="27"/>
          <w:lang w:eastAsia="cs-CZ"/>
        </w:rPr>
        <w:t xml:space="preserve">Děkujeme, že nás, Pane, zahrnuješ do svých dějin spásy – skrze </w:t>
      </w:r>
      <w:r>
        <w:rPr>
          <w:rFonts w:ascii="Bookman Old Style" w:eastAsia="Times New Roman" w:hAnsi="Bookman Old Style"/>
          <w:i/>
          <w:iCs/>
          <w:sz w:val="27"/>
          <w:szCs w:val="27"/>
          <w:lang w:eastAsia="cs-CZ"/>
        </w:rPr>
        <w:t>Ježíše Krista.</w:t>
      </w:r>
      <w:r>
        <w:rPr>
          <w:rFonts w:ascii="Bookman Old Style" w:eastAsia="Times New Roman" w:hAnsi="Bookman Old Style"/>
          <w:i/>
          <w:iCs/>
          <w:sz w:val="27"/>
          <w:szCs w:val="27"/>
          <w:lang w:eastAsia="cs-CZ"/>
        </w:rPr>
        <w:br/>
        <w:t xml:space="preserve">Prosíme, ať tě následujeme a posloucháme podle příkladu tvého vyvoleného Ježíše Krista. </w:t>
      </w:r>
      <w:r>
        <w:rPr>
          <w:rFonts w:ascii="Bookman Old Style" w:eastAsia="Times New Roman" w:hAnsi="Bookman Old Style"/>
          <w:sz w:val="27"/>
          <w:szCs w:val="27"/>
          <w:lang w:eastAsia="cs-CZ"/>
        </w:rPr>
        <w:t>Amen</w:t>
      </w:r>
    </w:p>
    <w:sectPr w:rsidR="00A12AB3">
      <w:pgSz w:w="11906" w:h="16838"/>
      <w:pgMar w:top="397" w:right="397" w:bottom="397" w:left="3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B3"/>
    <w:rsid w:val="00205B38"/>
    <w:rsid w:val="003B1827"/>
    <w:rsid w:val="0041288A"/>
    <w:rsid w:val="005046D7"/>
    <w:rsid w:val="00A12AB3"/>
    <w:rsid w:val="00AA204A"/>
    <w:rsid w:val="00B2062B"/>
    <w:rsid w:val="00F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EFED98-D3E8-AE4C-BA26-2348401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A4E8E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qFormat/>
    <w:rsid w:val="00BA4E8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1073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Jákob není bohem</dc:title>
  <dc:subject/>
  <dc:creator>kancelar_sboru</dc:creator>
  <dc:description/>
  <cp:lastModifiedBy>pa mos</cp:lastModifiedBy>
  <cp:revision>40</cp:revision>
  <dcterms:created xsi:type="dcterms:W3CDTF">2022-03-29T15:48:00Z</dcterms:created>
  <dcterms:modified xsi:type="dcterms:W3CDTF">2022-03-31T15:47:00Z</dcterms:modified>
  <dc:language>cs-CZ</dc:language>
</cp:coreProperties>
</file>